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C1EB05" w14:textId="00F0194B" w:rsidR="00617D42" w:rsidRDefault="00617D42" w:rsidP="003F63DA">
      <w:pPr>
        <w:pStyle w:val="Heading1"/>
      </w:pPr>
      <w:r w:rsidRPr="00617D42">
        <w:t>Zillow picks 238 housing market winners that will see home prices tick up and 156 losers facing a price cut</w:t>
      </w:r>
      <w:r w:rsidRPr="00617D42">
        <w:t>.</w:t>
      </w:r>
    </w:p>
    <w:p w14:paraId="0C01F58A" w14:textId="77777777" w:rsidR="003F63DA" w:rsidRPr="003F63DA" w:rsidRDefault="003F63DA" w:rsidP="003F63DA"/>
    <w:p w14:paraId="1FC52547" w14:textId="7A87C2D6" w:rsidR="00617D42" w:rsidRPr="00617D42" w:rsidRDefault="00617D42" w:rsidP="00617D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60" w:line="440" w:lineRule="exact"/>
        <w:rPr>
          <w:rFonts w:ascii="IowanOldStyle-Roman" w:hAnsi="IowanOldStyle-Roman" w:cs="IowanOldStyle-Roman"/>
          <w:color w:val="000000"/>
          <w:spacing w:val="-4"/>
          <w:kern w:val="1"/>
          <w:sz w:val="28"/>
          <w:szCs w:val="28"/>
        </w:rPr>
      </w:pPr>
      <w:r w:rsidRPr="00617D42">
        <w:rPr>
          <w:rFonts w:ascii="IowanOldStyle-Roman" w:hAnsi="IowanOldStyle-Roman" w:cs="IowanOldStyle-Roman"/>
          <w:color w:val="000000"/>
          <w:spacing w:val="-4"/>
          <w:kern w:val="1"/>
          <w:sz w:val="28"/>
          <w:szCs w:val="28"/>
        </w:rPr>
        <w:t xml:space="preserve">The U.S. housing market’s move from </w:t>
      </w:r>
      <w:hyperlink r:id="rId6" w:history="1">
        <w:r w:rsidRPr="00617D42">
          <w:rPr>
            <w:rFonts w:ascii="IowanOldStyle-Roman" w:hAnsi="IowanOldStyle-Roman" w:cs="IowanOldStyle-Roman"/>
            <w:color w:val="3576BE"/>
            <w:spacing w:val="-4"/>
            <w:kern w:val="1"/>
            <w:sz w:val="28"/>
            <w:szCs w:val="28"/>
          </w:rPr>
          <w:t>boom mode</w:t>
        </w:r>
      </w:hyperlink>
      <w:r w:rsidRPr="00617D42">
        <w:rPr>
          <w:rFonts w:ascii="IowanOldStyle-Roman" w:hAnsi="IowanOldStyle-Roman" w:cs="IowanOldStyle-Roman"/>
          <w:color w:val="000000"/>
          <w:spacing w:val="-4"/>
          <w:kern w:val="1"/>
          <w:sz w:val="28"/>
          <w:szCs w:val="28"/>
        </w:rPr>
        <w:t xml:space="preserve"> to </w:t>
      </w:r>
      <w:hyperlink r:id="rId7" w:history="1">
        <w:r w:rsidRPr="00617D42">
          <w:rPr>
            <w:rFonts w:ascii="IowanOldStyle-Roman" w:hAnsi="IowanOldStyle-Roman" w:cs="IowanOldStyle-Roman"/>
            <w:color w:val="3576BE"/>
            <w:spacing w:val="-4"/>
            <w:kern w:val="1"/>
            <w:sz w:val="28"/>
            <w:szCs w:val="28"/>
          </w:rPr>
          <w:t>correction mode</w:t>
        </w:r>
      </w:hyperlink>
      <w:r w:rsidRPr="00617D42">
        <w:rPr>
          <w:rFonts w:ascii="IowanOldStyle-Roman" w:hAnsi="IowanOldStyle-Roman" w:cs="IowanOldStyle-Roman"/>
          <w:color w:val="000000"/>
          <w:spacing w:val="-4"/>
          <w:kern w:val="1"/>
          <w:sz w:val="28"/>
          <w:szCs w:val="28"/>
        </w:rPr>
        <w:t xml:space="preserve"> was so abrupt last year that economists at </w:t>
      </w:r>
      <w:hyperlink r:id="rId8" w:history="1">
        <w:r w:rsidRPr="00617D42">
          <w:rPr>
            <w:rFonts w:ascii="IowanOldStyle-Roman" w:hAnsi="IowanOldStyle-Roman" w:cs="IowanOldStyle-Roman"/>
            <w:color w:val="3576BE"/>
            <w:spacing w:val="-4"/>
            <w:kern w:val="1"/>
            <w:sz w:val="28"/>
            <w:szCs w:val="28"/>
          </w:rPr>
          <w:t>Zillow</w:t>
        </w:r>
      </w:hyperlink>
      <w:r w:rsidRPr="00617D42">
        <w:rPr>
          <w:rFonts w:ascii="IowanOldStyle-Roman" w:hAnsi="IowanOldStyle-Roman" w:cs="IowanOldStyle-Roman"/>
          <w:color w:val="000000"/>
          <w:spacing w:val="-4"/>
          <w:kern w:val="1"/>
          <w:sz w:val="28"/>
          <w:szCs w:val="28"/>
        </w:rPr>
        <w:t xml:space="preserve"> repeatedly saw themselves </w:t>
      </w:r>
      <w:hyperlink r:id="rId9" w:history="1">
        <w:r w:rsidRPr="00617D42">
          <w:rPr>
            <w:rFonts w:ascii="IowanOldStyle-Roman" w:hAnsi="IowanOldStyle-Roman" w:cs="IowanOldStyle-Roman"/>
            <w:color w:val="3576BE"/>
            <w:spacing w:val="-4"/>
            <w:kern w:val="1"/>
            <w:sz w:val="28"/>
            <w:szCs w:val="28"/>
          </w:rPr>
          <w:t>issuing sharp downward revisions</w:t>
        </w:r>
      </w:hyperlink>
      <w:r w:rsidRPr="00617D42">
        <w:rPr>
          <w:rFonts w:ascii="IowanOldStyle-Roman" w:hAnsi="IowanOldStyle-Roman" w:cs="IowanOldStyle-Roman"/>
          <w:color w:val="000000"/>
          <w:spacing w:val="-4"/>
          <w:kern w:val="1"/>
          <w:sz w:val="28"/>
          <w:szCs w:val="28"/>
        </w:rPr>
        <w:t xml:space="preserve"> for their 12-month home price outlook. In March, </w:t>
      </w:r>
      <w:hyperlink r:id="rId10" w:history="1">
        <w:r w:rsidRPr="00617D42">
          <w:rPr>
            <w:rFonts w:ascii="IowanOldStyle-Roman" w:hAnsi="IowanOldStyle-Roman" w:cs="IowanOldStyle-Roman"/>
            <w:color w:val="3576BE"/>
            <w:spacing w:val="-4"/>
            <w:kern w:val="1"/>
            <w:sz w:val="28"/>
            <w:szCs w:val="28"/>
          </w:rPr>
          <w:t>Zillow had been expecting home prices to rise 17.8%</w:t>
        </w:r>
      </w:hyperlink>
      <w:r w:rsidRPr="00617D42">
        <w:rPr>
          <w:rFonts w:ascii="IowanOldStyle-Roman" w:hAnsi="IowanOldStyle-Roman" w:cs="IowanOldStyle-Roman"/>
          <w:color w:val="000000"/>
          <w:spacing w:val="-4"/>
          <w:kern w:val="1"/>
          <w:sz w:val="28"/>
          <w:szCs w:val="28"/>
        </w:rPr>
        <w:t xml:space="preserve"> over the next 12 months. By December, however, that was slashed all the way down to a forecasted decline of </w:t>
      </w:r>
      <w:hyperlink r:id="rId11" w:history="1">
        <w:r w:rsidRPr="00617D42">
          <w:rPr>
            <w:rFonts w:ascii="IowanOldStyle-Roman" w:hAnsi="IowanOldStyle-Roman" w:cs="IowanOldStyle-Roman"/>
            <w:color w:val="3576BE"/>
            <w:spacing w:val="-4"/>
            <w:kern w:val="1"/>
            <w:sz w:val="28"/>
            <w:szCs w:val="28"/>
          </w:rPr>
          <w:t>1.</w:t>
        </w:r>
        <w:r w:rsidRPr="00617D42">
          <w:rPr>
            <w:rFonts w:ascii="IowanOldStyle-Roman" w:hAnsi="IowanOldStyle-Roman" w:cs="IowanOldStyle-Roman"/>
            <w:color w:val="3576BE"/>
            <w:spacing w:val="-4"/>
            <w:kern w:val="1"/>
            <w:sz w:val="28"/>
            <w:szCs w:val="28"/>
          </w:rPr>
          <w:t>1</w:t>
        </w:r>
        <w:r w:rsidRPr="00617D42">
          <w:rPr>
            <w:rFonts w:ascii="IowanOldStyle-Roman" w:hAnsi="IowanOldStyle-Roman" w:cs="IowanOldStyle-Roman"/>
            <w:color w:val="3576BE"/>
            <w:spacing w:val="-4"/>
            <w:kern w:val="1"/>
            <w:sz w:val="28"/>
            <w:szCs w:val="28"/>
          </w:rPr>
          <w:t>%</w:t>
        </w:r>
      </w:hyperlink>
      <w:r w:rsidRPr="00617D42">
        <w:rPr>
          <w:rFonts w:ascii="IowanOldStyle-Roman" w:hAnsi="IowanOldStyle-Roman" w:cs="IowanOldStyle-Roman"/>
          <w:color w:val="000000"/>
          <w:spacing w:val="-4"/>
          <w:kern w:val="1"/>
          <w:sz w:val="28"/>
          <w:szCs w:val="28"/>
        </w:rPr>
        <w:t>.</w:t>
      </w:r>
    </w:p>
    <w:p w14:paraId="0156A4AD" w14:textId="77777777" w:rsidR="00617D42" w:rsidRPr="00617D42" w:rsidRDefault="00617D42" w:rsidP="00617D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60" w:line="440" w:lineRule="exact"/>
        <w:rPr>
          <w:rFonts w:ascii="IowanOldStyle-Roman" w:hAnsi="IowanOldStyle-Roman" w:cs="IowanOldStyle-Roman"/>
          <w:color w:val="000000"/>
          <w:spacing w:val="-4"/>
          <w:kern w:val="1"/>
          <w:sz w:val="28"/>
          <w:szCs w:val="28"/>
        </w:rPr>
      </w:pPr>
      <w:r w:rsidRPr="00617D42">
        <w:rPr>
          <w:rFonts w:ascii="IowanOldStyle-Roman" w:hAnsi="IowanOldStyle-Roman" w:cs="IowanOldStyle-Roman"/>
          <w:color w:val="000000"/>
          <w:spacing w:val="-4"/>
          <w:kern w:val="1"/>
          <w:sz w:val="28"/>
          <w:szCs w:val="28"/>
        </w:rPr>
        <w:t xml:space="preserve">Zillow economists now believe they’re done issuing downward revisions. In fact, they think the national </w:t>
      </w:r>
      <w:hyperlink r:id="rId12" w:history="1">
        <w:r w:rsidRPr="00617D42">
          <w:rPr>
            <w:rFonts w:ascii="IowanOldStyle-Roman" w:hAnsi="IowanOldStyle-Roman" w:cs="IowanOldStyle-Roman"/>
            <w:color w:val="3576BE"/>
            <w:spacing w:val="-4"/>
            <w:kern w:val="1"/>
            <w:sz w:val="28"/>
            <w:szCs w:val="28"/>
          </w:rPr>
          <w:t>housing market correction</w:t>
        </w:r>
      </w:hyperlink>
      <w:r w:rsidRPr="00617D42">
        <w:rPr>
          <w:rFonts w:ascii="IowanOldStyle-Roman" w:hAnsi="IowanOldStyle-Roman" w:cs="IowanOldStyle-Roman"/>
          <w:color w:val="000000"/>
          <w:spacing w:val="-4"/>
          <w:kern w:val="1"/>
          <w:sz w:val="28"/>
          <w:szCs w:val="28"/>
        </w:rPr>
        <w:t xml:space="preserve"> could be nearing its bottom.</w:t>
      </w:r>
    </w:p>
    <w:p w14:paraId="73F82496" w14:textId="77777777" w:rsidR="00617D42" w:rsidRPr="00617D42" w:rsidRDefault="00617D42" w:rsidP="00617D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60" w:line="440" w:lineRule="exact"/>
        <w:rPr>
          <w:rFonts w:ascii="IowanOldStyle-Roman" w:hAnsi="IowanOldStyle-Roman" w:cs="IowanOldStyle-Roman"/>
          <w:color w:val="000000"/>
          <w:spacing w:val="-4"/>
          <w:kern w:val="1"/>
          <w:sz w:val="28"/>
          <w:szCs w:val="28"/>
        </w:rPr>
      </w:pPr>
      <w:r w:rsidRPr="00617D42">
        <w:rPr>
          <w:rFonts w:ascii="IowanOldStyle-Roman" w:hAnsi="IowanOldStyle-Roman" w:cs="IowanOldStyle-Roman"/>
          <w:color w:val="000000"/>
          <w:spacing w:val="-4"/>
          <w:kern w:val="1"/>
          <w:sz w:val="28"/>
          <w:szCs w:val="28"/>
        </w:rPr>
        <w:t>Heading forward, Zillow economists expect U.S. home values as tracked by the Zillow Home Value Index (ZHVI) to rise 0.5% between January 2023 and January 2024.</w:t>
      </w:r>
    </w:p>
    <w:p w14:paraId="11A080FD" w14:textId="77777777" w:rsidR="00617D42" w:rsidRPr="00617D42" w:rsidRDefault="00617D42" w:rsidP="00617D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60" w:line="440" w:lineRule="exact"/>
        <w:rPr>
          <w:rFonts w:ascii="IowanOldStyle-Roman" w:hAnsi="IowanOldStyle-Roman" w:cs="IowanOldStyle-Roman"/>
          <w:color w:val="000000"/>
          <w:spacing w:val="-4"/>
          <w:kern w:val="1"/>
          <w:sz w:val="28"/>
          <w:szCs w:val="28"/>
        </w:rPr>
      </w:pPr>
      <w:r w:rsidRPr="00617D42">
        <w:rPr>
          <w:rFonts w:ascii="IowanOldStyle-Roman" w:hAnsi="IowanOldStyle-Roman" w:cs="IowanOldStyle-Roman"/>
          <w:color w:val="000000"/>
          <w:spacing w:val="-4"/>
          <w:kern w:val="1"/>
          <w:sz w:val="28"/>
          <w:szCs w:val="28"/>
        </w:rPr>
        <w:t>Among the 400 largest housing markets tracked by Zillow, the company expects 238 markets to see positive home price growth between January 2023 and January 2024, while it expects six markets to remain flat and 156 markets to notch a home price decline over the next 12 months. Simply put: Zillow expects only 39% of major markets to post a home price decline over the coming year.</w:t>
      </w:r>
    </w:p>
    <w:p w14:paraId="5581178A" w14:textId="77777777" w:rsidR="00617D42" w:rsidRPr="00617D42" w:rsidRDefault="00617D42" w:rsidP="00617D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60" w:line="440" w:lineRule="exact"/>
        <w:rPr>
          <w:rFonts w:ascii="IowanOldStyle-Roman" w:hAnsi="IowanOldStyle-Roman" w:cs="IowanOldStyle-Roman"/>
          <w:color w:val="000000"/>
          <w:spacing w:val="-4"/>
          <w:kern w:val="1"/>
          <w:sz w:val="28"/>
          <w:szCs w:val="28"/>
        </w:rPr>
      </w:pPr>
      <w:r w:rsidRPr="00617D42">
        <w:rPr>
          <w:rFonts w:ascii="IowanOldStyle-Roman" w:hAnsi="IowanOldStyle-Roman" w:cs="IowanOldStyle-Roman"/>
          <w:color w:val="000000"/>
          <w:spacing w:val="-4"/>
          <w:kern w:val="1"/>
          <w:sz w:val="28"/>
          <w:szCs w:val="28"/>
        </w:rPr>
        <w:t>Relative to economists at Moody’s Analytics (</w:t>
      </w:r>
      <w:hyperlink r:id="rId13" w:history="1">
        <w:r w:rsidRPr="00617D42">
          <w:rPr>
            <w:rFonts w:ascii="IowanOldStyle-Roman" w:hAnsi="IowanOldStyle-Roman" w:cs="IowanOldStyle-Roman"/>
            <w:color w:val="3576BE"/>
            <w:spacing w:val="-4"/>
            <w:kern w:val="1"/>
            <w:sz w:val="28"/>
            <w:szCs w:val="28"/>
          </w:rPr>
          <w:t>which expects home prices to fall in 100% of major markets in 2023</w:t>
        </w:r>
      </w:hyperlink>
      <w:r w:rsidRPr="00617D42">
        <w:rPr>
          <w:rFonts w:ascii="IowanOldStyle-Roman" w:hAnsi="IowanOldStyle-Roman" w:cs="IowanOldStyle-Roman"/>
          <w:color w:val="000000"/>
          <w:spacing w:val="-4"/>
          <w:kern w:val="1"/>
          <w:sz w:val="28"/>
          <w:szCs w:val="28"/>
        </w:rPr>
        <w:t xml:space="preserve">) and </w:t>
      </w:r>
      <w:hyperlink r:id="rId14" w:history="1">
        <w:r w:rsidRPr="00617D42">
          <w:rPr>
            <w:rFonts w:ascii="IowanOldStyle-Roman" w:hAnsi="IowanOldStyle-Roman" w:cs="IowanOldStyle-Roman"/>
            <w:color w:val="3576BE"/>
            <w:spacing w:val="-4"/>
            <w:kern w:val="1"/>
            <w:sz w:val="28"/>
            <w:szCs w:val="28"/>
          </w:rPr>
          <w:t>Goldman Sachs</w:t>
        </w:r>
      </w:hyperlink>
      <w:r w:rsidRPr="00617D42">
        <w:rPr>
          <w:rFonts w:ascii="IowanOldStyle-Roman" w:hAnsi="IowanOldStyle-Roman" w:cs="IowanOldStyle-Roman"/>
          <w:color w:val="000000"/>
          <w:spacing w:val="-4"/>
          <w:kern w:val="1"/>
          <w:sz w:val="28"/>
          <w:szCs w:val="28"/>
        </w:rPr>
        <w:t xml:space="preserve"> (</w:t>
      </w:r>
      <w:hyperlink r:id="rId15" w:history="1">
        <w:r w:rsidRPr="00617D42">
          <w:rPr>
            <w:rFonts w:ascii="IowanOldStyle-Roman" w:hAnsi="IowanOldStyle-Roman" w:cs="IowanOldStyle-Roman"/>
            <w:color w:val="3576BE"/>
            <w:spacing w:val="-4"/>
            <w:kern w:val="1"/>
            <w:sz w:val="28"/>
            <w:szCs w:val="28"/>
          </w:rPr>
          <w:t>which expect home prices to fall in 91% of major markets in 2023</w:t>
        </w:r>
      </w:hyperlink>
      <w:r w:rsidRPr="00617D42">
        <w:rPr>
          <w:rFonts w:ascii="IowanOldStyle-Roman" w:hAnsi="IowanOldStyle-Roman" w:cs="IowanOldStyle-Roman"/>
          <w:color w:val="000000"/>
          <w:spacing w:val="-4"/>
          <w:kern w:val="1"/>
          <w:sz w:val="28"/>
          <w:szCs w:val="28"/>
        </w:rPr>
        <w:t>), Zillow’s team is on the optimistic side.</w:t>
      </w:r>
    </w:p>
    <w:p w14:paraId="5470FAB9" w14:textId="77777777" w:rsidR="00617D42" w:rsidRPr="00617D42" w:rsidRDefault="00617D42" w:rsidP="00617D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60" w:line="440" w:lineRule="exact"/>
        <w:rPr>
          <w:rFonts w:ascii="IowanOldStyle-Roman" w:hAnsi="IowanOldStyle-Roman" w:cs="IowanOldStyle-Roman"/>
          <w:color w:val="000000"/>
          <w:spacing w:val="-4"/>
          <w:kern w:val="1"/>
          <w:sz w:val="28"/>
          <w:szCs w:val="28"/>
        </w:rPr>
      </w:pPr>
      <w:r w:rsidRPr="00617D42">
        <w:rPr>
          <w:rFonts w:ascii="IowanOldStyle-Roman" w:hAnsi="IowanOldStyle-Roman" w:cs="IowanOldStyle-Roman"/>
          <w:color w:val="000000"/>
          <w:spacing w:val="-4"/>
          <w:kern w:val="1"/>
          <w:sz w:val="28"/>
          <w:szCs w:val="28"/>
        </w:rPr>
        <w:t>Okay, now let’s take a closer look at the Zillow data.</w:t>
      </w:r>
    </w:p>
    <w:p w14:paraId="0D4F7323" w14:textId="77777777" w:rsidR="00617D42" w:rsidRPr="00617D42" w:rsidRDefault="00617D42" w:rsidP="00617D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60" w:line="440" w:lineRule="exact"/>
        <w:rPr>
          <w:rFonts w:ascii="IowanOldStyle-Roman" w:hAnsi="IowanOldStyle-Roman" w:cs="IowanOldStyle-Roman"/>
          <w:color w:val="000000"/>
          <w:spacing w:val="-4"/>
          <w:kern w:val="1"/>
          <w:sz w:val="28"/>
          <w:szCs w:val="28"/>
        </w:rPr>
      </w:pPr>
      <w:r w:rsidRPr="00617D42">
        <w:rPr>
          <w:rFonts w:ascii="IowanOldStyle-Roman" w:hAnsi="IowanOldStyle-Roman" w:cs="IowanOldStyle-Roman"/>
          <w:color w:val="000000"/>
          <w:spacing w:val="-4"/>
          <w:kern w:val="1"/>
          <w:sz w:val="28"/>
          <w:szCs w:val="28"/>
        </w:rPr>
        <w:lastRenderedPageBreak/>
        <w:t>Between January 2023 and January 2024, Zillow expects some of the biggest home price upticks to occur in markets like Morristown, Tenn. (+5.1% forecasted growth), Rome, Ga. (+4.8%), Knoxville (+4.5%), Johnson City, Tenn. (+4.5%), and Atlantic City (+4.2%). Clearly, Zillow expects the U.S. Southeast to be the epicenter of home price growth in 2023.</w:t>
      </w:r>
    </w:p>
    <w:p w14:paraId="3C00B6B8" w14:textId="77777777" w:rsidR="00617D42" w:rsidRPr="00617D42" w:rsidRDefault="00617D42" w:rsidP="00617D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60" w:line="440" w:lineRule="exact"/>
        <w:rPr>
          <w:rFonts w:ascii="IowanOldStyle-Roman" w:hAnsi="IowanOldStyle-Roman" w:cs="IowanOldStyle-Roman"/>
          <w:color w:val="000000"/>
          <w:spacing w:val="-4"/>
          <w:kern w:val="1"/>
          <w:sz w:val="28"/>
          <w:szCs w:val="28"/>
        </w:rPr>
      </w:pPr>
      <w:r w:rsidRPr="00617D42">
        <w:rPr>
          <w:rFonts w:ascii="IowanOldStyle-Roman" w:hAnsi="IowanOldStyle-Roman" w:cs="IowanOldStyle-Roman"/>
          <w:color w:val="000000"/>
          <w:spacing w:val="-4"/>
          <w:kern w:val="1"/>
          <w:sz w:val="28"/>
          <w:szCs w:val="28"/>
        </w:rPr>
        <w:t xml:space="preserve">Meanwhile, Zillow economists expect some of the biggest home price declines between January 2023 and January 2024 to occur in markets such as Lake Charles, La. (-7.2% forecasted decline), Houma, La. (-5%), San Jose (-3.5%), Los Angeles (-3.3%), and Las Vegas (-2.5%). </w:t>
      </w:r>
    </w:p>
    <w:p w14:paraId="026E82BF" w14:textId="77777777" w:rsidR="00617D42" w:rsidRPr="00617D42" w:rsidRDefault="00617D42" w:rsidP="00617D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60" w:line="440" w:lineRule="exact"/>
        <w:rPr>
          <w:rFonts w:ascii="IowanOldStyle-Roman" w:hAnsi="IowanOldStyle-Roman" w:cs="IowanOldStyle-Roman"/>
          <w:color w:val="000000"/>
          <w:spacing w:val="-4"/>
          <w:kern w:val="1"/>
          <w:sz w:val="28"/>
          <w:szCs w:val="28"/>
        </w:rPr>
      </w:pPr>
      <w:r w:rsidRPr="00617D42">
        <w:rPr>
          <w:rFonts w:ascii="IowanOldStyle-Roman" w:hAnsi="IowanOldStyle-Roman" w:cs="IowanOldStyle-Roman"/>
          <w:color w:val="000000"/>
          <w:spacing w:val="-4"/>
          <w:kern w:val="1"/>
          <w:sz w:val="28"/>
          <w:szCs w:val="28"/>
        </w:rPr>
        <w:t xml:space="preserve">When one zooms out, it's clear that Zillow expects the West Coast to be the weakest region this year. The reason is pretty straightforward: </w:t>
      </w:r>
      <w:hyperlink r:id="rId16" w:history="1">
        <w:r w:rsidRPr="00617D42">
          <w:rPr>
            <w:rFonts w:ascii="IowanOldStyle-Roman" w:hAnsi="IowanOldStyle-Roman" w:cs="IowanOldStyle-Roman"/>
            <w:color w:val="3576BE"/>
            <w:spacing w:val="-4"/>
            <w:kern w:val="1"/>
            <w:sz w:val="28"/>
            <w:szCs w:val="28"/>
          </w:rPr>
          <w:t>Western housing markets are hyper rate-sensitive</w:t>
        </w:r>
      </w:hyperlink>
      <w:r w:rsidRPr="00617D42">
        <w:rPr>
          <w:rFonts w:ascii="IowanOldStyle-Roman" w:hAnsi="IowanOldStyle-Roman" w:cs="IowanOldStyle-Roman"/>
          <w:color w:val="000000"/>
          <w:spacing w:val="-4"/>
          <w:kern w:val="1"/>
          <w:sz w:val="28"/>
          <w:szCs w:val="28"/>
        </w:rPr>
        <w:t>.</w:t>
      </w:r>
    </w:p>
    <w:p w14:paraId="649A7AF4" w14:textId="77777777" w:rsidR="00617D42" w:rsidRPr="00617D42" w:rsidRDefault="00617D42" w:rsidP="00617D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60" w:line="440" w:lineRule="exact"/>
        <w:rPr>
          <w:rFonts w:ascii="IowanOldStyle-Roman" w:hAnsi="IowanOldStyle-Roman" w:cs="IowanOldStyle-Roman"/>
          <w:color w:val="000000"/>
          <w:spacing w:val="-4"/>
          <w:kern w:val="1"/>
          <w:sz w:val="28"/>
          <w:szCs w:val="28"/>
        </w:rPr>
      </w:pPr>
      <w:r w:rsidRPr="00617D42">
        <w:rPr>
          <w:rFonts w:ascii="IowanOldStyle-Roman" w:hAnsi="IowanOldStyle-Roman" w:cs="IowanOldStyle-Roman"/>
          <w:color w:val="000000"/>
          <w:spacing w:val="-4"/>
          <w:kern w:val="1"/>
          <w:sz w:val="28"/>
          <w:szCs w:val="28"/>
        </w:rPr>
        <w:t xml:space="preserve">Not only does the West have a high concentration of rate-sensitive tech employers, but it also has overheated home prices that are vulnerable to mortgage rate spikes. If Western buyers were already stretching themselves thin while mortgage rates were low, it only makes sense that </w:t>
      </w:r>
      <w:hyperlink r:id="rId17" w:history="1">
        <w:r w:rsidRPr="00617D42">
          <w:rPr>
            <w:rFonts w:ascii="IowanOldStyle-Roman" w:hAnsi="IowanOldStyle-Roman" w:cs="IowanOldStyle-Roman"/>
            <w:color w:val="3576BE"/>
            <w:spacing w:val="-4"/>
            <w:kern w:val="1"/>
            <w:sz w:val="28"/>
            <w:szCs w:val="28"/>
          </w:rPr>
          <w:t>they'd finally push back once mortgage rates spiked</w:t>
        </w:r>
      </w:hyperlink>
      <w:r w:rsidRPr="00617D42">
        <w:rPr>
          <w:rFonts w:ascii="IowanOldStyle-Roman" w:hAnsi="IowanOldStyle-Roman" w:cs="IowanOldStyle-Roman"/>
          <w:color w:val="000000"/>
          <w:spacing w:val="-4"/>
          <w:kern w:val="1"/>
          <w:sz w:val="28"/>
          <w:szCs w:val="28"/>
        </w:rPr>
        <w:t>.</w:t>
      </w:r>
    </w:p>
    <w:p w14:paraId="156BCADF" w14:textId="77777777" w:rsidR="00617D42" w:rsidRPr="00617D42" w:rsidRDefault="00617D42" w:rsidP="00617D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60" w:line="440" w:lineRule="exact"/>
        <w:rPr>
          <w:rFonts w:ascii="IowanOldStyle-Roman" w:hAnsi="IowanOldStyle-Roman" w:cs="IowanOldStyle-Roman"/>
          <w:color w:val="000000"/>
          <w:spacing w:val="-4"/>
          <w:kern w:val="1"/>
          <w:sz w:val="28"/>
          <w:szCs w:val="28"/>
        </w:rPr>
      </w:pPr>
      <w:r w:rsidRPr="00617D42">
        <w:rPr>
          <w:rFonts w:ascii="IowanOldStyle-Roman" w:hAnsi="IowanOldStyle-Roman" w:cs="IowanOldStyle-Roman"/>
          <w:color w:val="000000"/>
          <w:spacing w:val="-4"/>
          <w:kern w:val="1"/>
          <w:sz w:val="28"/>
          <w:szCs w:val="28"/>
        </w:rPr>
        <w:t>Among the nation's 400 largest housing markets tracked by Zillow, 276 markets have seen local home prices fall from their respective 2022 peak. That includes 32 markets where home prices are down over 5% from their 2022 peak.</w:t>
      </w:r>
    </w:p>
    <w:p w14:paraId="63528A87" w14:textId="77777777" w:rsidR="00617D42" w:rsidRPr="00617D42" w:rsidRDefault="00617D42" w:rsidP="00617D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60" w:line="440" w:lineRule="exact"/>
        <w:rPr>
          <w:rFonts w:ascii="IowanOldStyle-Roman" w:hAnsi="IowanOldStyle-Roman" w:cs="IowanOldStyle-Roman"/>
          <w:color w:val="000000"/>
          <w:spacing w:val="-4"/>
          <w:kern w:val="1"/>
          <w:sz w:val="28"/>
          <w:szCs w:val="28"/>
        </w:rPr>
      </w:pPr>
      <w:r w:rsidRPr="00617D42">
        <w:rPr>
          <w:rFonts w:ascii="IowanOldStyle-Roman" w:hAnsi="IowanOldStyle-Roman" w:cs="IowanOldStyle-Roman"/>
          <w:color w:val="000000"/>
          <w:spacing w:val="-4"/>
          <w:kern w:val="1"/>
          <w:sz w:val="28"/>
          <w:szCs w:val="28"/>
        </w:rPr>
        <w:t xml:space="preserve">So far, the biggest seasonally adjusted home price declines have occurred in San Francisco (down 9.2%), Bend, Ore. (down 8.3%), Santa Cruz (down 8.1%), Boise </w:t>
      </w:r>
      <w:r w:rsidRPr="00617D42">
        <w:rPr>
          <w:rFonts w:ascii="IowanOldStyle-Roman" w:hAnsi="IowanOldStyle-Roman" w:cs="IowanOldStyle-Roman"/>
          <w:color w:val="000000"/>
          <w:spacing w:val="-4"/>
          <w:kern w:val="1"/>
          <w:sz w:val="28"/>
          <w:szCs w:val="28"/>
        </w:rPr>
        <w:lastRenderedPageBreak/>
        <w:t xml:space="preserve">(down 8%), and Austin (down 7.9%). At least that's according to the Zillow Home Value Index. </w:t>
      </w:r>
    </w:p>
    <w:p w14:paraId="70993BC0" w14:textId="77777777" w:rsidR="00617D42" w:rsidRPr="00617D42" w:rsidRDefault="00617D42" w:rsidP="00617D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60" w:line="440" w:lineRule="exact"/>
        <w:rPr>
          <w:rFonts w:ascii="IowanOldStyle-Roman" w:hAnsi="IowanOldStyle-Roman" w:cs="IowanOldStyle-Roman"/>
          <w:color w:val="000000"/>
          <w:spacing w:val="-4"/>
          <w:kern w:val="1"/>
          <w:sz w:val="28"/>
          <w:szCs w:val="28"/>
        </w:rPr>
      </w:pPr>
      <w:r w:rsidRPr="00617D42">
        <w:rPr>
          <w:rFonts w:ascii="IowanOldStyle-Roman" w:hAnsi="IowanOldStyle-Roman" w:cs="IowanOldStyle-Roman"/>
          <w:color w:val="000000"/>
          <w:spacing w:val="-4"/>
          <w:kern w:val="1"/>
          <w:sz w:val="28"/>
          <w:szCs w:val="28"/>
        </w:rPr>
        <w:t xml:space="preserve">An analysis of </w:t>
      </w:r>
      <w:hyperlink r:id="rId18" w:history="1">
        <w:r w:rsidRPr="00617D42">
          <w:rPr>
            <w:rFonts w:ascii="IowanOldStyle-Roman" w:hAnsi="IowanOldStyle-Roman" w:cs="IowanOldStyle-Roman"/>
            <w:color w:val="3576BE"/>
            <w:spacing w:val="-4"/>
            <w:kern w:val="1"/>
            <w:sz w:val="28"/>
            <w:szCs w:val="28"/>
          </w:rPr>
          <w:t>Zillow Home Value Index data</w:t>
        </w:r>
      </w:hyperlink>
      <w:r w:rsidRPr="00617D42">
        <w:rPr>
          <w:rFonts w:ascii="IowanOldStyle-Roman" w:hAnsi="IowanOldStyle-Roman" w:cs="IowanOldStyle-Roman"/>
          <w:color w:val="000000"/>
          <w:spacing w:val="-4"/>
          <w:kern w:val="1"/>
          <w:sz w:val="28"/>
          <w:szCs w:val="28"/>
        </w:rPr>
        <w:t xml:space="preserve"> by </w:t>
      </w:r>
      <w:r w:rsidRPr="00617D42">
        <w:rPr>
          <w:rFonts w:ascii="IowanOldStyle-Italic" w:hAnsi="IowanOldStyle-Italic" w:cs="IowanOldStyle-Italic"/>
          <w:i/>
          <w:iCs/>
          <w:color w:val="000000"/>
          <w:spacing w:val="-4"/>
          <w:kern w:val="1"/>
          <w:sz w:val="28"/>
          <w:szCs w:val="28"/>
        </w:rPr>
        <w:t>Fortune</w:t>
      </w:r>
      <w:r w:rsidRPr="00617D42">
        <w:rPr>
          <w:rFonts w:ascii="IowanOldStyle-Roman" w:hAnsi="IowanOldStyle-Roman" w:cs="IowanOldStyle-Roman"/>
          <w:color w:val="000000"/>
          <w:spacing w:val="-4"/>
          <w:kern w:val="1"/>
          <w:sz w:val="28"/>
          <w:szCs w:val="28"/>
        </w:rPr>
        <w:t xml:space="preserve"> (see chart above), finds that 79% of the nation's 200 largest housing markets saw a month-over-month home price decline in September. That figure has since been dropping, slowly but surely.</w:t>
      </w:r>
    </w:p>
    <w:p w14:paraId="4196255E" w14:textId="77777777" w:rsidR="00617D42" w:rsidRPr="00617D42" w:rsidRDefault="00617D42" w:rsidP="00617D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60" w:line="440" w:lineRule="exact"/>
        <w:rPr>
          <w:rFonts w:ascii="IowanOldStyle-Roman" w:hAnsi="IowanOldStyle-Roman" w:cs="IowanOldStyle-Roman"/>
          <w:color w:val="000000"/>
          <w:spacing w:val="-4"/>
          <w:kern w:val="1"/>
          <w:sz w:val="28"/>
          <w:szCs w:val="28"/>
        </w:rPr>
      </w:pPr>
      <w:r w:rsidRPr="00617D42">
        <w:rPr>
          <w:rFonts w:ascii="IowanOldStyle-Roman" w:hAnsi="IowanOldStyle-Roman" w:cs="IowanOldStyle-Roman"/>
          <w:color w:val="000000"/>
          <w:spacing w:val="-4"/>
          <w:kern w:val="1"/>
          <w:sz w:val="28"/>
          <w:szCs w:val="28"/>
        </w:rPr>
        <w:t>In October, 76% of those major markets saw a home price decline. In November and December, it was down to 64% and 67%, respectively. However, in January, just 47% of the nation's 200 largest housing markets registered a month-over-month home price decline.</w:t>
      </w:r>
    </w:p>
    <w:p w14:paraId="3824614A" w14:textId="77777777" w:rsidR="00617D42" w:rsidRPr="00617D42" w:rsidRDefault="00617D42" w:rsidP="00617D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60" w:line="440" w:lineRule="exact"/>
        <w:rPr>
          <w:rFonts w:ascii="IowanOldStyle-Roman" w:hAnsi="IowanOldStyle-Roman" w:cs="IowanOldStyle-Roman"/>
          <w:color w:val="000000"/>
          <w:spacing w:val="-4"/>
          <w:kern w:val="1"/>
          <w:sz w:val="28"/>
          <w:szCs w:val="28"/>
        </w:rPr>
      </w:pPr>
      <w:r w:rsidRPr="00617D42">
        <w:rPr>
          <w:rFonts w:ascii="IowanOldStyle-Roman" w:hAnsi="IowanOldStyle-Roman" w:cs="IowanOldStyle-Roman"/>
          <w:color w:val="000000"/>
          <w:spacing w:val="-4"/>
          <w:kern w:val="1"/>
          <w:sz w:val="28"/>
          <w:szCs w:val="28"/>
        </w:rPr>
        <w:t xml:space="preserve">Simply put: While the </w:t>
      </w:r>
      <w:hyperlink r:id="rId19" w:history="1">
        <w:r w:rsidRPr="00617D42">
          <w:rPr>
            <w:rFonts w:ascii="IowanOldStyle-Roman" w:hAnsi="IowanOldStyle-Roman" w:cs="IowanOldStyle-Roman"/>
            <w:color w:val="3576BE"/>
            <w:spacing w:val="-4"/>
            <w:kern w:val="1"/>
            <w:sz w:val="28"/>
            <w:szCs w:val="28"/>
          </w:rPr>
          <w:t>home price correction</w:t>
        </w:r>
      </w:hyperlink>
      <w:r w:rsidRPr="00617D42">
        <w:rPr>
          <w:rFonts w:ascii="IowanOldStyle-Roman" w:hAnsi="IowanOldStyle-Roman" w:cs="IowanOldStyle-Roman"/>
          <w:color w:val="000000"/>
          <w:spacing w:val="-4"/>
          <w:kern w:val="1"/>
          <w:sz w:val="28"/>
          <w:szCs w:val="28"/>
        </w:rPr>
        <w:t xml:space="preserve"> on the existing-home side has lost some steam, it's still very much alive in some markets. </w:t>
      </w:r>
    </w:p>
    <w:p w14:paraId="0E975335" w14:textId="77777777" w:rsidR="00617D42" w:rsidRDefault="00617D42" w:rsidP="003F63DA">
      <w:pPr>
        <w:jc w:val="center"/>
      </w:pPr>
      <w:r>
        <w:rPr>
          <w:rFonts w:ascii="Bodoni 72 Oldstyle" w:hAnsi="Bodoni 72 Oldstyle" w:cs="Bodoni 72 Oldstyle"/>
          <w:b/>
          <w:bCs/>
          <w:noProof/>
          <w:color w:val="000000"/>
          <w:sz w:val="110"/>
          <w:szCs w:val="110"/>
        </w:rPr>
        <w:drawing>
          <wp:inline distT="0" distB="0" distL="0" distR="0" wp14:anchorId="74674042" wp14:editId="6F633945">
            <wp:extent cx="4610155" cy="3439886"/>
            <wp:effectExtent l="0" t="0" r="0" b="1905"/>
            <wp:docPr id="3" name="Picture 3" descr="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atter char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69869" cy="3484442"/>
                    </a:xfrm>
                    <a:prstGeom prst="rect">
                      <a:avLst/>
                    </a:prstGeom>
                  </pic:spPr>
                </pic:pic>
              </a:graphicData>
            </a:graphic>
          </wp:inline>
        </w:drawing>
      </w:r>
    </w:p>
    <w:p w14:paraId="32823272" w14:textId="76E6C819" w:rsidR="00012A19" w:rsidRDefault="00617D42" w:rsidP="003F63DA">
      <w:pPr>
        <w:jc w:val="center"/>
      </w:pPr>
      <w:r>
        <w:rPr>
          <w:rFonts w:ascii="Bodoni 72 Oldstyle" w:hAnsi="Bodoni 72 Oldstyle" w:cs="Bodoni 72 Oldstyle"/>
          <w:b/>
          <w:bCs/>
          <w:noProof/>
          <w:color w:val="000000"/>
          <w:sz w:val="110"/>
          <w:szCs w:val="110"/>
        </w:rPr>
        <w:lastRenderedPageBreak/>
        <w:drawing>
          <wp:inline distT="0" distB="0" distL="0" distR="0" wp14:anchorId="1E5E2E15" wp14:editId="14A145C1">
            <wp:extent cx="5609771" cy="4142002"/>
            <wp:effectExtent l="0" t="0" r="3810" b="0"/>
            <wp:docPr id="2" name="Picture 2" descr="A picture containing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catter char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4869" cy="4256520"/>
                    </a:xfrm>
                    <a:prstGeom prst="rect">
                      <a:avLst/>
                    </a:prstGeom>
                  </pic:spPr>
                </pic:pic>
              </a:graphicData>
            </a:graphic>
          </wp:inline>
        </w:drawing>
      </w:r>
    </w:p>
    <w:sectPr w:rsidR="00012A19">
      <w:headerReference w:type="default" r:id="rId22"/>
      <w:footerReference w:type="even" r:id="rId23"/>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9BC4C4" w14:textId="77777777" w:rsidR="00617D42" w:rsidRDefault="00617D42" w:rsidP="00617D42">
      <w:r>
        <w:separator/>
      </w:r>
    </w:p>
  </w:endnote>
  <w:endnote w:type="continuationSeparator" w:id="0">
    <w:p w14:paraId="353968A2" w14:textId="77777777" w:rsidR="00617D42" w:rsidRDefault="00617D42" w:rsidP="00617D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IowanOldStyle-Roman">
    <w:altName w:val="Calibri"/>
    <w:panose1 w:val="020B0604020202020204"/>
    <w:charset w:val="00"/>
    <w:family w:val="auto"/>
    <w:notTrueType/>
    <w:pitch w:val="default"/>
    <w:sig w:usb0="00000003" w:usb1="00000000" w:usb2="00000000" w:usb3="00000000" w:csb0="00000001" w:csb1="00000000"/>
  </w:font>
  <w:font w:name="IowanOldStyle-Italic">
    <w:altName w:val="Calibri"/>
    <w:panose1 w:val="020B0604020202020204"/>
    <w:charset w:val="00"/>
    <w:family w:val="auto"/>
    <w:notTrueType/>
    <w:pitch w:val="default"/>
    <w:sig w:usb0="00000003" w:usb1="00000000" w:usb2="00000000" w:usb3="00000000" w:csb0="00000001" w:csb1="00000000"/>
  </w:font>
  <w:font w:name="Bodoni 72 Oldstyle">
    <w:panose1 w:val="000004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82253879"/>
      <w:docPartObj>
        <w:docPartGallery w:val="Page Numbers (Bottom of Page)"/>
        <w:docPartUnique/>
      </w:docPartObj>
    </w:sdtPr>
    <w:sdtContent>
      <w:p w14:paraId="221A56CF" w14:textId="5AA66F75" w:rsidR="003F63DA" w:rsidRDefault="003F63DA" w:rsidP="00CF358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1E2A0F7" w14:textId="77777777" w:rsidR="003F63DA" w:rsidRDefault="003F63DA" w:rsidP="003F63D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B3E5F" w14:textId="6497F4EB" w:rsidR="003F63DA" w:rsidRDefault="003F63DA" w:rsidP="003F63DA">
    <w:pPr>
      <w:pStyle w:val="Footer"/>
      <w:ind w:right="360"/>
    </w:pPr>
    <w:r>
      <w:rPr>
        <w:rFonts w:ascii="Calibri Light" w:hAnsi="Calibri Light" w:cs="Calibri Light"/>
        <w:color w:val="000000"/>
        <w:sz w:val="16"/>
        <w:szCs w:val="16"/>
      </w:rPr>
      <w:t>David Selden</w:t>
    </w:r>
    <w:r>
      <w:rPr>
        <w:rFonts w:ascii="Calibri Light" w:hAnsi="Calibri Light" w:cs="Calibri Light"/>
        <w:i/>
        <w:iCs/>
        <w:color w:val="000000"/>
        <w:sz w:val="16"/>
        <w:szCs w:val="16"/>
      </w:rPr>
      <w:t> offers investment advisory services through Gradient Advisors, LLC (Arden Hills, MN 877-885-0508), an SEC Registered Investment Advisor.  Gradient Advisors, LLC and its advisors do not render tax, legal or accounting advice. Mountain West Retirement, LLC. is not a registered investment advisor and is independent of Gradient Advisors, LLC. Insurance products and services are offered through David Selden, independent agent.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C94BFE" w14:textId="77777777" w:rsidR="00617D42" w:rsidRDefault="00617D42" w:rsidP="00617D42">
      <w:r>
        <w:separator/>
      </w:r>
    </w:p>
  </w:footnote>
  <w:footnote w:type="continuationSeparator" w:id="0">
    <w:p w14:paraId="306525AA" w14:textId="77777777" w:rsidR="00617D42" w:rsidRDefault="00617D42" w:rsidP="00617D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5885B" w14:textId="222EC6BF" w:rsidR="00617D42" w:rsidRDefault="00617D42" w:rsidP="003F63DA">
    <w:pPr>
      <w:pStyle w:val="Header"/>
      <w:jc w:val="center"/>
    </w:pPr>
    <w:r>
      <w:rPr>
        <w:noProof/>
      </w:rPr>
      <w:drawing>
        <wp:inline distT="0" distB="0" distL="0" distR="0" wp14:anchorId="34DB1C28" wp14:editId="646BF2D6">
          <wp:extent cx="3403600" cy="906536"/>
          <wp:effectExtent l="0" t="0" r="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403600" cy="906536"/>
                  </a:xfrm>
                  <a:prstGeom prst="rect">
                    <a:avLst/>
                  </a:prstGeom>
                </pic:spPr>
              </pic:pic>
            </a:graphicData>
          </a:graphic>
        </wp:inline>
      </w:drawing>
    </w:r>
  </w:p>
  <w:p w14:paraId="28577FDF" w14:textId="77777777" w:rsidR="00617D42" w:rsidRDefault="00617D4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7D42"/>
    <w:rsid w:val="00012A19"/>
    <w:rsid w:val="003F63DA"/>
    <w:rsid w:val="00617D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951DE47"/>
  <w15:chartTrackingRefBased/>
  <w15:docId w15:val="{6EF120D8-AF41-F046-9A83-1545E0429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F63DA"/>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17D42"/>
    <w:pPr>
      <w:tabs>
        <w:tab w:val="center" w:pos="4680"/>
        <w:tab w:val="right" w:pos="9360"/>
      </w:tabs>
    </w:pPr>
  </w:style>
  <w:style w:type="character" w:customStyle="1" w:styleId="HeaderChar">
    <w:name w:val="Header Char"/>
    <w:basedOn w:val="DefaultParagraphFont"/>
    <w:link w:val="Header"/>
    <w:uiPriority w:val="99"/>
    <w:rsid w:val="00617D42"/>
  </w:style>
  <w:style w:type="paragraph" w:styleId="Footer">
    <w:name w:val="footer"/>
    <w:basedOn w:val="Normal"/>
    <w:link w:val="FooterChar"/>
    <w:uiPriority w:val="99"/>
    <w:unhideWhenUsed/>
    <w:rsid w:val="00617D42"/>
    <w:pPr>
      <w:tabs>
        <w:tab w:val="center" w:pos="4680"/>
        <w:tab w:val="right" w:pos="9360"/>
      </w:tabs>
    </w:pPr>
  </w:style>
  <w:style w:type="character" w:customStyle="1" w:styleId="FooterChar">
    <w:name w:val="Footer Char"/>
    <w:basedOn w:val="DefaultParagraphFont"/>
    <w:link w:val="Footer"/>
    <w:uiPriority w:val="99"/>
    <w:rsid w:val="00617D42"/>
  </w:style>
  <w:style w:type="character" w:styleId="PageNumber">
    <w:name w:val="page number"/>
    <w:basedOn w:val="DefaultParagraphFont"/>
    <w:uiPriority w:val="99"/>
    <w:semiHidden/>
    <w:unhideWhenUsed/>
    <w:rsid w:val="003F63DA"/>
  </w:style>
  <w:style w:type="character" w:customStyle="1" w:styleId="Heading1Char">
    <w:name w:val="Heading 1 Char"/>
    <w:basedOn w:val="DefaultParagraphFont"/>
    <w:link w:val="Heading1"/>
    <w:uiPriority w:val="9"/>
    <w:rsid w:val="003F63DA"/>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rtune.com/company/zillow-group/" TargetMode="External"/><Relationship Id="rId13" Type="http://schemas.openxmlformats.org/officeDocument/2006/relationships/hyperlink" Target="https://apple.news/A1Oago7G3TO-rS1ncSuB3kA" TargetMode="External"/><Relationship Id="rId18" Type="http://schemas.openxmlformats.org/officeDocument/2006/relationships/hyperlink" Target="https://www.zillow.com/research/data/"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2.png"/><Relationship Id="rId7" Type="http://schemas.openxmlformats.org/officeDocument/2006/relationships/hyperlink" Target="https://apple.news/AWG8bkVgFSjyQrkYRCcHemg" TargetMode="External"/><Relationship Id="rId12" Type="http://schemas.openxmlformats.org/officeDocument/2006/relationships/hyperlink" Target="https://fortune.com/2022/09/22/housing-market-federal-reserve-reset-through-difficult-housing-correction-home-prices/" TargetMode="External"/><Relationship Id="rId17" Type="http://schemas.openxmlformats.org/officeDocument/2006/relationships/hyperlink" Target="https://fortune.com/2022/09/29/housing-market-busts-boise-las-vegas-phoenix-interactive-map-home-prices/"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fortune.com/2022/07/18/bubbly-housing-markets-boise-phoenix-got-home-price-top-blown-off/" TargetMode="External"/><Relationship Id="rId20" Type="http://schemas.openxmlformats.org/officeDocument/2006/relationships/image" Target="media/image1.png"/><Relationship Id="rId1" Type="http://schemas.openxmlformats.org/officeDocument/2006/relationships/styles" Target="styles.xml"/><Relationship Id="rId6" Type="http://schemas.openxmlformats.org/officeDocument/2006/relationships/hyperlink" Target="https://apple.news/AjVelz2XfTxO9bZyjMps5yg" TargetMode="External"/><Relationship Id="rId11" Type="http://schemas.openxmlformats.org/officeDocument/2006/relationships/hyperlink" Target="https://twitter.com/NewsLambert/status/1607409582355386368?s=20&amp;t=DiQYi8kvZd1A4yS-rMd9_Q" TargetMode="External"/><Relationship Id="rId24"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hyperlink" Target="https://apple.news/AWrLYxB0vSmCCrMsPCS52ew" TargetMode="External"/><Relationship Id="rId23" Type="http://schemas.openxmlformats.org/officeDocument/2006/relationships/footer" Target="footer1.xml"/><Relationship Id="rId10" Type="http://schemas.openxmlformats.org/officeDocument/2006/relationships/hyperlink" Target="https://fortune.com/2022/03/20/zillow-predicts-wildest-home-price-swing-still-awaits/" TargetMode="External"/><Relationship Id="rId19" Type="http://schemas.openxmlformats.org/officeDocument/2006/relationships/hyperlink" Target="https://apple.news/AI3HN3fB5Semo_ezAYN0xxA" TargetMode="External"/><Relationship Id="rId4" Type="http://schemas.openxmlformats.org/officeDocument/2006/relationships/footnotes" Target="footnotes.xml"/><Relationship Id="rId9" Type="http://schemas.openxmlformats.org/officeDocument/2006/relationships/hyperlink" Target="https://twitter.com/NewsLambert/status/1560348406832414720?s=20" TargetMode="External"/><Relationship Id="rId14" Type="http://schemas.openxmlformats.org/officeDocument/2006/relationships/hyperlink" Target="https://fortune.com/company/goldman-sachs-group/"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4</Pages>
  <Words>727</Words>
  <Characters>4144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Selden</dc:creator>
  <cp:keywords/>
  <dc:description/>
  <cp:lastModifiedBy>David Selden</cp:lastModifiedBy>
  <cp:revision>1</cp:revision>
  <dcterms:created xsi:type="dcterms:W3CDTF">2023-03-17T18:31:00Z</dcterms:created>
  <dcterms:modified xsi:type="dcterms:W3CDTF">2023-03-17T18:45:00Z</dcterms:modified>
</cp:coreProperties>
</file>